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95959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59"/>
          <w:sz w:val="32"/>
          <w:szCs w:val="32"/>
          <w:u w:val="none"/>
          <w:shd w:fill="auto" w:val="clear"/>
          <w:vertAlign w:val="baseline"/>
          <w:rtl w:val="0"/>
        </w:rPr>
        <w:t xml:space="preserve">CAF apoyará a las instituciones para mejorar la estructuración de proyectos en agua y saneamiento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9595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Con el propósito de mejorar la calidad de los proyectos de acceso, expansión y mejoramiento de los servicios de agua y saneamiento en América Latina, CAF lanza el Programa de Preinversión para el Sector Agua que también facilitará el acceso a tecnologías de vanguardia, al conocimiento de nuevos materiales de construcción resilientes y mejores prácticas de ejecución de programas y proyectos.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rtl w:val="0"/>
        </w:rPr>
        <w:t xml:space="preserve">(Ciudad de México, 12 de diciembre de </w:t>
      </w: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rtl w:val="0"/>
        </w:rPr>
        <w:t xml:space="preserve">2018</w:t>
      </w: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rtl w:val="0"/>
        </w:rPr>
        <w:t xml:space="preserve">).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Se estima que para alcanzar las metas de universalización de los servicios de agua y saneamiento en América Latina, en el período 2018 - 2030, los países de la región deberán invertir cada año en el sector alrededor del 0,7% de su Producto Interno Bruto (PIB), que incluye el 0,3% del PIB dirigido a cerrar las brechas de infraestructura y posibilitar el acceso a los servicios de agua y saneamiento, y el 0,4% del PIB a garantizar la adecuada operación y mantenimiento de los sistemas.</w:t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Para apoyar a los gobiernos en la provisión de servicios de calidad, CAF –banco de desarrollo de América Latina- como principal proveedor de financiamiento en infraestructura y catalizador de recursos hacia la región, pondrá en marcha el Programa de Preinversión para el Sector Agua, con el que se pretende contribuir a mejorar la calidad de los estudios y reducir los tiempos del ciclo de proyectos a través del financiamiento de todas aquellas acciones y actividades de preinversión requeridas para que las iniciativas, programas y proyectos que sean priorizados por países miembros de CAF, concluyan integralmente su etapa de preparación y estudios bajo estándares de calidad, que permitan iniciar su fase de inversión y ejecución.</w:t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“Con este Programa se busca contribuir a mejorar la calidad de los proyectos de acceso, expansión y mejoramiento de los servicios. De la misma manera, se busca atraer el interés de entidades e instituciones regionales y extra regionales para el financiamiento de proyectos, incrementando la oferta de recursos y la transferencia de conocimiento, en beneficio de la población más vulnerable de América Latina”, expresó el presidente ejecutivo de CAF, Luis Carranza.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El Programa de Preinversión para el Sector Agua priorizará proyectos integrales que incluyan uno o varios de los siguientes componentes: i) acceso seguro a los servicios de agua y saneamiento; ii) tratamiento de aguas residuales; iii) servicios de agua y saneamiento rural, asociados a la lucha contra la desnutrición infantil; iv) inversiones con enfoque de economía circular y de uso eficiente del recurso hídrico; v) drenaje urbano y otras inversiones orientadas a reducir los riesgos de desastres naturales; vi) riego para agricultura familiar, y vii) proyectos multipropósito de agua.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Durante el periodo 2019-2022 se espera que los proyectos y programas financiados por CAF en el sector de agua beneficien a 11,2 millones de personas con nuevas conexiones o servicio mejorado de agua potable; 3,2 millones por nuevas conexiones o servicio mejorado de saneamiento; 4,6 millones de personas atendidas con servicio de tratamiento de aguas residuales; cerca de 96 mil familias beneficiadas por infraestructura de riego para pequeña agricultura; y más de 10 millones de personas vean reducida su exposición al riesgo de inundaciones y sequías.</w:t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6">
        <w:r w:rsidDel="00000000" w:rsidR="00000000" w:rsidRPr="00000000">
          <w:rPr>
            <w:rFonts w:ascii="Arial Narrow" w:cs="Arial Narrow" w:eastAsia="Arial Narrow" w:hAnsi="Arial Narrow"/>
            <w:sz w:val="16"/>
            <w:szCs w:val="16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546100</wp:posOffset>
                </wp:positionV>
                <wp:extent cx="564832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546100</wp:posOffset>
                </wp:positionV>
                <wp:extent cx="5648325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 Narrow" w:cs="Arial Narrow" w:eastAsia="Arial Narrow" w:hAnsi="Arial Narrow"/>
          <w:color w:val="0000ff"/>
          <w:sz w:val="16"/>
          <w:szCs w:val="1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CAF, Dirección de Comunicación Estratégica,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ff"/>
            <w:sz w:val="16"/>
            <w:szCs w:val="16"/>
            <w:u w:val="single"/>
            <w:rtl w:val="0"/>
          </w:rPr>
          <w:t xml:space="preserve">prensa@caf.com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Encuéntrenos en: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6"/>
          <w:szCs w:val="16"/>
          <w:rtl w:val="0"/>
        </w:rPr>
        <w:t xml:space="preserve">Facebook: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00ff"/>
            <w:sz w:val="16"/>
            <w:szCs w:val="16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sz w:val="16"/>
          <w:szCs w:val="16"/>
          <w:rtl w:val="0"/>
        </w:rPr>
        <w:t xml:space="preserve"> /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Twitter: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563c1"/>
            <w:sz w:val="16"/>
            <w:szCs w:val="16"/>
            <w:u w:val="single"/>
            <w:rtl w:val="0"/>
          </w:rPr>
          <w:t xml:space="preserve">@AgendaCAF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353310" cy="43878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3310" cy="4387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twitter.com/AgendaCAF?lang=es" TargetMode="External"/><Relationship Id="rId9" Type="http://schemas.openxmlformats.org/officeDocument/2006/relationships/hyperlink" Target="https://www.facebook.com/CAF.America.Latina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af.com/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prensa@caf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